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6"/>
          <w:szCs w:val="36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管理机构设置、工作职责、主要管理制度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1.项目负责人：潘丽明    负责全面工作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2.项目技术负责人：朱智文   负责技术方面相关工作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3.安全员：陆嘉 吴浩峰    负责安全方面相关工作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4.施工员：雷徐凯    负责现场施工管理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5.质检员：傅洪志    负责质检相关工作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6.资料员：朱美莲    负责资料编制等相关工作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主要管理制度：《安全生产六大纪律》《消防保卫纪律》《文明施工纪律》《安全十大禁令》等。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F8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2024-01-04T02:50:03Z</dcterms:created>
  <dc:creator>Administrator</dc:creator>
  <cp:lastModifiedBy>徐庆民</cp:lastModifiedBy>
  <dcterms:modified xsi:type="dcterms:W3CDTF">2024-01-04T02:51:08Z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